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0A316D" w:rsidRPr="000A7ECB" w:rsidRDefault="008734FC" w:rsidP="000A316D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0A7ECB">
        <w:rPr>
          <w:rFonts w:ascii="Times New Roman" w:hAnsi="Times New Roman"/>
          <w:b/>
          <w:color w:val="7030A0"/>
          <w:sz w:val="24"/>
          <w:szCs w:val="24"/>
        </w:rPr>
        <w:t xml:space="preserve">Июль </w:t>
      </w:r>
      <w:r w:rsidR="000A316D" w:rsidRPr="000A7ECB">
        <w:rPr>
          <w:rFonts w:ascii="Times New Roman" w:hAnsi="Times New Roman"/>
          <w:b/>
          <w:color w:val="7030A0"/>
          <w:sz w:val="24"/>
          <w:szCs w:val="24"/>
        </w:rPr>
        <w:t>2024г.</w:t>
      </w:r>
    </w:p>
    <w:p w:rsidR="000A316D" w:rsidRPr="000A7ECB" w:rsidRDefault="000A316D" w:rsidP="000A316D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7030A0"/>
          <w:sz w:val="24"/>
          <w:szCs w:val="24"/>
          <w:u w:val="single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для Бюджетных организаций </w:t>
      </w:r>
    </w:p>
    <w:p w:rsidR="000A316D" w:rsidRPr="000A7ECB" w:rsidRDefault="000A316D" w:rsidP="000A316D">
      <w:pPr>
        <w:rPr>
          <w:rFonts w:ascii="Times New Roman" w:hAnsi="Times New Roman"/>
          <w:color w:val="E36C0A"/>
        </w:rPr>
      </w:pPr>
    </w:p>
    <w:p w:rsidR="000A316D" w:rsidRPr="000A7ECB" w:rsidRDefault="000A316D" w:rsidP="000A316D">
      <w:pPr>
        <w:spacing w:after="0" w:line="240" w:lineRule="auto"/>
        <w:jc w:val="center"/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ECB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0A7ECB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0A7ECB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  </w:t>
      </w:r>
    </w:p>
    <w:p w:rsidR="000A316D" w:rsidRPr="000A7ECB" w:rsidRDefault="000A316D" w:rsidP="000A316D">
      <w:pPr>
        <w:spacing w:after="0" w:line="240" w:lineRule="auto"/>
        <w:ind w:left="2832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0A316D" w:rsidRPr="000A7ECB" w:rsidRDefault="000A316D" w:rsidP="000A316D">
      <w:pPr>
        <w:spacing w:after="0" w:line="240" w:lineRule="auto"/>
        <w:jc w:val="center"/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0A7ECB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0A7ECB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A316D" w:rsidRPr="000A7ECB" w:rsidRDefault="000A316D" w:rsidP="000A316D">
      <w:pPr>
        <w:spacing w:after="0" w:line="240" w:lineRule="auto"/>
        <w:jc w:val="center"/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ECB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A316D" w:rsidRPr="000A7ECB" w:rsidRDefault="000A316D" w:rsidP="000A316D">
      <w:pPr>
        <w:spacing w:after="0" w:line="240" w:lineRule="auto"/>
        <w:rPr>
          <w:rFonts w:ascii="Times New Roman" w:hAnsi="Times New Roman"/>
          <w:b/>
          <w:bCs/>
          <w:color w:val="FF6600"/>
          <w:sz w:val="24"/>
          <w:szCs w:val="24"/>
          <w:u w:val="single"/>
        </w:rPr>
      </w:pPr>
    </w:p>
    <w:tbl>
      <w:tblPr>
        <w:tblW w:w="10305" w:type="dxa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A316D" w:rsidRPr="000A7ECB" w:rsidTr="000A7ECB">
        <w:trPr>
          <w:trHeight w:val="2002"/>
        </w:trPr>
        <w:tc>
          <w:tcPr>
            <w:tcW w:w="10305" w:type="dxa"/>
          </w:tcPr>
          <w:p w:rsidR="000A316D" w:rsidRPr="000A7ECB" w:rsidRDefault="000A316D" w:rsidP="007B6071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0A7ECB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 w:rsidRPr="000A7ECB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>выпуске</w:t>
            </w:r>
            <w:r w:rsidRPr="000A7ECB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0A7ECB" w:rsidRPr="000A7ECB" w:rsidRDefault="000A7ECB" w:rsidP="007B6071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0A316D" w:rsidRPr="000A7ECB" w:rsidRDefault="000A316D" w:rsidP="000A7ECB">
            <w:pPr>
              <w:pStyle w:val="af2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ECB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Закупки. Формулировка порядка сдачи-приемки выполненных работ.</w:t>
            </w:r>
          </w:p>
          <w:p w:rsidR="000A316D" w:rsidRPr="000A7ECB" w:rsidRDefault="000A316D" w:rsidP="000A7ECB">
            <w:pPr>
              <w:pStyle w:val="af2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ECB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Обеспечение исполнения контракта</w:t>
            </w:r>
          </w:p>
          <w:p w:rsidR="000A316D" w:rsidRPr="000A7ECB" w:rsidRDefault="000A316D" w:rsidP="000A7ECB">
            <w:pPr>
              <w:pStyle w:val="af2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ECB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Проверка знаний по охране труда</w:t>
            </w:r>
          </w:p>
          <w:p w:rsidR="000A316D" w:rsidRPr="000A7ECB" w:rsidRDefault="000A316D" w:rsidP="000A7ECB">
            <w:pPr>
              <w:pStyle w:val="af2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ECB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МУП реорганизовано в МБУ </w:t>
            </w:r>
          </w:p>
          <w:p w:rsidR="000A316D" w:rsidRPr="000A7ECB" w:rsidRDefault="000A316D" w:rsidP="000A7ECB">
            <w:pPr>
              <w:pStyle w:val="af2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48365C"/>
              </w:rPr>
            </w:pPr>
            <w:r w:rsidRPr="000A7ECB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Молодой специалист в бюджетном учреждении</w:t>
            </w:r>
          </w:p>
          <w:p w:rsidR="000A7ECB" w:rsidRPr="000A7ECB" w:rsidRDefault="000A7ECB" w:rsidP="000A7ECB">
            <w:pPr>
              <w:pStyle w:val="af2"/>
              <w:spacing w:after="0" w:line="240" w:lineRule="auto"/>
              <w:rPr>
                <w:rFonts w:ascii="Times New Roman" w:hAnsi="Times New Roman"/>
                <w:color w:val="48365C"/>
              </w:rPr>
            </w:pPr>
          </w:p>
        </w:tc>
      </w:tr>
    </w:tbl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 xml:space="preserve">Какую формулировку указать в разделе контракта по 44-ФЗ (порядок сдачи-приемки выполненных работ) по итогам проведения запроса котировок в электронной форме? </w:t>
      </w:r>
    </w:p>
    <w:p w:rsidR="000A7ECB" w:rsidRDefault="000A7ECB" w:rsidP="000A7E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 xml:space="preserve">Обязательное использование электронного документооборота предусмотрено в контрактной системе при закупке товаров, работ, услуг для государственных и муниципальных нужд. Электронная приемка - это подготовка и подписание документа о приемке поставленного товара, выполненной работы (ее результатов), оказанной услуги, отдельных этапов исполнения контракта, предусмотренных контрактом, с использованием единой информационной системы. </w:t>
      </w:r>
    </w:p>
    <w:p w:rsidR="000A7ECB" w:rsidRDefault="000A7ECB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Для любого способа можно указать данную формулировку для включения в контракт: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«В соответствии с Контрактом Исполнитель в срок, предусмотренный Контрактом, формирует, подписывает и размещает в ЕИС Акт о выполнении работ и счет на оплату.</w:t>
      </w:r>
    </w:p>
    <w:p w:rsidR="000A7ECB" w:rsidRDefault="000A7ECB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Заказчик в срок, предусмотренный Контрактом, но не позднее 20 рабочих дней, следующих за днем поступления Акта, подписывает и размещает его в ЕИС. При наличии замечаний Заказчик формирует, подписывает и размещает в ЕИС отказ от подписания Акта о выполнении работ с обоснованием причин отказа.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В случае получения мотивированного отказа от подписания Акта о выполнении работ Исполнитель вправе устранить недостатки и направить Заказчику новый Акт.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Датой приемки является дата размещения в ЕИС Акта о выполнении работ, подписанного Заказчиком».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16D" w:rsidRPr="000A7ECB" w:rsidRDefault="000A316D" w:rsidP="0096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C00000"/>
          <w:sz w:val="24"/>
          <w:szCs w:val="24"/>
          <w:u w:val="single"/>
        </w:rPr>
        <w:lastRenderedPageBreak/>
        <w:t>П</w:t>
      </w:r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A316D" w:rsidRPr="00966847" w:rsidRDefault="000A316D" w:rsidP="00966847">
      <w:pPr>
        <w:pStyle w:val="af2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66847">
        <w:rPr>
          <w:rFonts w:ascii="Times New Roman" w:hAnsi="Times New Roman"/>
          <w:b/>
          <w:i/>
          <w:color w:val="002060"/>
          <w:sz w:val="24"/>
          <w:szCs w:val="24"/>
        </w:rPr>
        <w:t>Электронная приёмка работ. Формулировка в контракте</w:t>
      </w:r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F3D0F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A316D" w:rsidRPr="00966847" w:rsidRDefault="003829F4" w:rsidP="00966847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/>
          <w:color w:val="auto"/>
          <w:u w:val="none"/>
        </w:rPr>
      </w:pPr>
      <w:hyperlink r:id="rId12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Путеводитель по договорной работе. Государственный и муниципальный контракт {КонсультантПлюс}</w:t>
        </w:r>
      </w:hyperlink>
    </w:p>
    <w:p w:rsidR="000A316D" w:rsidRPr="000A7ECB" w:rsidRDefault="003829F4" w:rsidP="00966847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3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ст. 94, "Комментарий к Федеральному закону от 05.04.2013 N 44-ФЗ "О контрактной системе в сфере закупок товаров, работ, услуг для обеспечения государственных и муниципальных нужд" (постатейный) (под ред. Р.Ю. Закирова) (Подготовлен для системы КонсультантПлюс, 2015) {КонсультантПлюс}</w:t>
        </w:r>
      </w:hyperlink>
    </w:p>
    <w:p w:rsidR="000A316D" w:rsidRPr="000A7ECB" w:rsidRDefault="003829F4" w:rsidP="00966847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Готовое решение: Каков порядок приемки товаров (работ, услуг) при закупках по Закону N 44-ФЗ (КонсультантПлюс, 2024) {КонсультантПлюс}</w:t>
        </w:r>
      </w:hyperlink>
    </w:p>
    <w:p w:rsidR="000A316D" w:rsidRPr="000A7ECB" w:rsidRDefault="003829F4" w:rsidP="00966847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Готовое решение: Как составить проект контракта на поставку и монтаж оборудования по Закону N 44-ФЗ (КонсультантПлюс, 2024) {КонсультантПлюс}</w:t>
        </w:r>
      </w:hyperlink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№2: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>Обязательно ли обеспечение исполнения контракта при проведении запроса котировок в эл. форме?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6D" w:rsidRPr="00966847" w:rsidRDefault="000A316D" w:rsidP="0096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 xml:space="preserve">Если вы заключаете контракт по итогам запроса котировок в электронной форме (кроме случая, предусмотренного </w:t>
      </w:r>
      <w:proofErr w:type="spellStart"/>
      <w:r w:rsidRPr="000A7ECB">
        <w:rPr>
          <w:rFonts w:ascii="Times New Roman" w:hAnsi="Times New Roman"/>
          <w:sz w:val="24"/>
          <w:szCs w:val="24"/>
        </w:rPr>
        <w:t>пп</w:t>
      </w:r>
      <w:proofErr w:type="spellEnd"/>
      <w:r w:rsidRPr="000A7ECB">
        <w:rPr>
          <w:rFonts w:ascii="Times New Roman" w:hAnsi="Times New Roman"/>
          <w:sz w:val="24"/>
          <w:szCs w:val="24"/>
        </w:rPr>
        <w:t xml:space="preserve">. "б" п. 2 ч. 10 ст. 24 Закона N 44-ФЗ), как единственный поставщик (подрядчик, исполнитель) в указанных в ч. 2 ст. 96 Закона N 44-ФЗ случаях, обеспечение необходимо, когда заказчик установил такое требование в извещении и (или) проекте контракта.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>Если контракт заключается, например, с единственным поставщиком (подрядчиком, исполнителем) в случаях, не указанных в ч. 2 ст. 96 Закона N 44-ФЗ, вы обязаны предоставить обеспечение исполнения контракта (ч. 2, 4 ст. 96 названного Закона).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A316D" w:rsidRPr="00966847" w:rsidRDefault="000A316D" w:rsidP="00966847">
      <w:pPr>
        <w:pStyle w:val="af2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66847">
        <w:rPr>
          <w:rFonts w:ascii="Times New Roman" w:hAnsi="Times New Roman"/>
          <w:b/>
          <w:i/>
          <w:color w:val="002060"/>
          <w:sz w:val="24"/>
          <w:szCs w:val="24"/>
        </w:rPr>
        <w:t>Обеспечение исполнения контракта</w:t>
      </w:r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F3D0F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A316D" w:rsidRPr="000A7ECB" w:rsidRDefault="003829F4" w:rsidP="00966847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6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Готовое решение: Как предоставить обеспечение исполнения контракта по Закону N 44-ФЗ (КонсультантПлюс, 2024) {КонсультантПлюс}</w:t>
        </w:r>
      </w:hyperlink>
    </w:p>
    <w:p w:rsidR="000A316D" w:rsidRPr="000A7ECB" w:rsidRDefault="003829F4" w:rsidP="00966847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7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ч. 4 ст. 96, Федеральный закон от 05.04.2013 N 44-ФЗ (ред. от 22.06.2024) "О контрактной системе в сфере закупок товаров, работ, услуг для обеспечения государственных и муниципальных нужд" {КонсультантПлюс}</w:t>
        </w:r>
      </w:hyperlink>
    </w:p>
    <w:p w:rsidR="000A316D" w:rsidRPr="000A7ECB" w:rsidRDefault="003829F4" w:rsidP="00966847">
      <w:pPr>
        <w:pStyle w:val="af2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8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Готовое решение: Как заключить государственный, муниципальный контракт по итогам открытых конкурентных электронных процедур (КонсультантПлюс, 2024) {КонсультантПлюс}</w:t>
        </w:r>
      </w:hyperlink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№3: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 xml:space="preserve">Какова периодичность проверки знаний по эксплуатации </w:t>
      </w:r>
      <w:proofErr w:type="spellStart"/>
      <w:r w:rsidRPr="000A7ECB"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 w:rsidRPr="000A7ECB">
        <w:rPr>
          <w:rFonts w:ascii="Times New Roman" w:hAnsi="Times New Roman"/>
          <w:sz w:val="24"/>
          <w:szCs w:val="24"/>
        </w:rPr>
        <w:t xml:space="preserve"> энергоустановок и каким документом регламентируется?</w:t>
      </w:r>
    </w:p>
    <w:p w:rsidR="00F677C4" w:rsidRDefault="00F677C4" w:rsidP="00F6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A316D" w:rsidRPr="000A7ECB" w:rsidRDefault="000A316D" w:rsidP="00F6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 xml:space="preserve">Приказ Минэнерго России от 24.03.2003 N 115 "Об утверждении Правил технической эксплуатации тепловых энергоустановок"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ECB">
        <w:rPr>
          <w:rFonts w:ascii="Times New Roman" w:hAnsi="Times New Roman"/>
          <w:sz w:val="24"/>
          <w:szCs w:val="24"/>
        </w:rPr>
        <w:t xml:space="preserve">п 2.3.15. Очередная проверка знаний проводится не реже 1 раза в три года, при этом для персонала, принимающего непосредственное участие в эксплуатации тепловых энергоустановок, их наладке, </w:t>
      </w:r>
      <w:r w:rsidRPr="000A7ECB">
        <w:rPr>
          <w:rFonts w:ascii="Times New Roman" w:hAnsi="Times New Roman"/>
          <w:sz w:val="24"/>
          <w:szCs w:val="24"/>
        </w:rPr>
        <w:lastRenderedPageBreak/>
        <w:t>регулировании, испытаниях, а также лиц, являющихся ответственными за исправное состояние и безопасную эксплуатацию тепловых энергоустановок - не реже 1 раза в год.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A316D" w:rsidRPr="00F677C4" w:rsidRDefault="000A316D" w:rsidP="00F677C4">
      <w:pPr>
        <w:pStyle w:val="af2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F677C4">
        <w:rPr>
          <w:rFonts w:ascii="Times New Roman" w:hAnsi="Times New Roman"/>
          <w:b/>
          <w:i/>
          <w:color w:val="002060"/>
          <w:sz w:val="24"/>
          <w:szCs w:val="24"/>
        </w:rPr>
        <w:t>Проверка знаний по эксплуатации тепло и энергоустановок</w:t>
      </w:r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F3D0F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A316D" w:rsidRPr="000A7ECB" w:rsidRDefault="003829F4" w:rsidP="00F677C4">
      <w:pPr>
        <w:pStyle w:val="a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9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Приказ Минэнерго России от 24.03.2003 N 115 "Об утверждении Правил технической эксплуатации тепловых энергоустановок" {КонсультантПлюс}</w:t>
        </w:r>
      </w:hyperlink>
    </w:p>
    <w:p w:rsidR="000A316D" w:rsidRPr="000A7ECB" w:rsidRDefault="003829F4" w:rsidP="00F677C4">
      <w:pPr>
        <w:pStyle w:val="a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20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 xml:space="preserve">"Перечень часто встречающихся нарушений обязательных требований в сфере деятельности Федеральной службы по экологическому, технологическому и атомному надзору" (утв. </w:t>
        </w:r>
        <w:proofErr w:type="spellStart"/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Ростехнадзором</w:t>
        </w:r>
        <w:proofErr w:type="spellEnd"/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) {КонсультантПлюс}</w:t>
        </w:r>
      </w:hyperlink>
    </w:p>
    <w:p w:rsidR="000A316D" w:rsidRPr="000A7ECB" w:rsidRDefault="003829F4" w:rsidP="00F677C4">
      <w:pPr>
        <w:pStyle w:val="a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21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ст. 9.11 КоАП РФ {КонсультантПлюс}</w:t>
        </w:r>
      </w:hyperlink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В муниципальном районе из Муниципального унитарного предприятия путем реорганизации создано Муниципальное бюджетное учреждение. Какими проводками перенести остатки по счетам учета на счета</w:t>
      </w:r>
      <w:r w:rsidR="00F67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7ECB">
        <w:rPr>
          <w:rFonts w:ascii="Times New Roman" w:hAnsi="Times New Roman"/>
          <w:color w:val="000000"/>
          <w:sz w:val="24"/>
          <w:szCs w:val="24"/>
        </w:rPr>
        <w:t xml:space="preserve">бухгалтерского учета? Надо ли заполнять форму 0503173 </w:t>
      </w:r>
      <w:proofErr w:type="gramStart"/>
      <w:r w:rsidRPr="000A7ECB">
        <w:rPr>
          <w:rFonts w:ascii="Times New Roman" w:hAnsi="Times New Roman"/>
          <w:color w:val="000000"/>
          <w:sz w:val="24"/>
          <w:szCs w:val="24"/>
        </w:rPr>
        <w:t>« Сведения</w:t>
      </w:r>
      <w:proofErr w:type="gramEnd"/>
      <w:r w:rsidRPr="000A7ECB">
        <w:rPr>
          <w:rFonts w:ascii="Times New Roman" w:hAnsi="Times New Roman"/>
          <w:color w:val="000000"/>
          <w:sz w:val="24"/>
          <w:szCs w:val="24"/>
        </w:rPr>
        <w:t xml:space="preserve"> об изменении остатков валюты</w:t>
      </w:r>
      <w:r w:rsidR="00F67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7ECB">
        <w:rPr>
          <w:rFonts w:ascii="Times New Roman" w:hAnsi="Times New Roman"/>
          <w:color w:val="000000"/>
          <w:sz w:val="24"/>
          <w:szCs w:val="24"/>
        </w:rPr>
        <w:t xml:space="preserve">баланса »?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F6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Основным нормативным документом бухгалтерского учета, применяемым при реорганизации юридических лиц, пока остаются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20.05.2003 N 44н.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В то же время в пункте 1 Методических указаний N 44н прямо указано на то, что положения данного документа не применяются в отношении хозяйственных операций, связанных с приватизацией государственных и муниципальных унитарных предприятий.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Как заполнить разд. 2 "Изменения в связи с реорганизацией"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В разд. 2 укажите показатели изменения вступительного баланса по коду причины 01 "Реорганизация", отраженному в графе 4 разд. 1 сведений (ф. 0503173).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Порядок заполнения сведений (ф. 0503173) приведен в п. 170 Инструкции N 191н.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В сведениях (ф. 0503173) отразите обобщенные за отчетный период данные об изменении показателей на начало отчетного периода вступительного баланса (ф. 0503130), а также иных отчетов (сведений), содержащих показатели на начало отчетного периода.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Составляйте раздельно сведения (ф. 0503173) по бюджетной деятельности и деятельности со средствами, поступающими во временное распоряжение, с обособлением отражаемых показателей по соответствующим кодам причин изменений.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 xml:space="preserve">Формируйте сведения (ф. 0503173) в составе годовой бюджетной отчетности.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При реорганизации, ликвидации формируйте сведения (ф. 0503173) с учетом особенностей, предусмотренных п. 276.1 Инструкции N 191н (п. 281 Инструкции N 191н).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Показатели, которые вы отразили в сведениях (ф. 0503173), должны быть подтверждены соответствующими регистрами бюджетного учета.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Не заполняйте форму, если ни один из показателей не имеет числового значения. Отсутствие сведений (ф. 0503173) в составе годовой бюджетной отчетности отразите в таблице N 16 разд. 5 пояснительной записки (ф. 0503160) (п. п. 8, 152, 159.9 Инструкции N 191н).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Сведения (ф. 0503173) состоят из четырех разделов: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• 1 "Изменение остатков валюты баланса";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• 2 "Изменения в связи с реорганизацией";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 xml:space="preserve">• 3 "Изменения по </w:t>
      </w:r>
      <w:proofErr w:type="spellStart"/>
      <w:r w:rsidRPr="000A7ECB">
        <w:rPr>
          <w:rFonts w:ascii="Times New Roman" w:hAnsi="Times New Roman"/>
          <w:color w:val="000000"/>
          <w:sz w:val="24"/>
          <w:szCs w:val="24"/>
        </w:rPr>
        <w:t>забалансовым</w:t>
      </w:r>
      <w:proofErr w:type="spellEnd"/>
      <w:r w:rsidRPr="000A7ECB">
        <w:rPr>
          <w:rFonts w:ascii="Times New Roman" w:hAnsi="Times New Roman"/>
          <w:color w:val="000000"/>
          <w:sz w:val="24"/>
          <w:szCs w:val="24"/>
        </w:rPr>
        <w:t xml:space="preserve"> счетам";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• 4 "Дополнительная информация по коду причины 03".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C00000"/>
          <w:sz w:val="24"/>
          <w:szCs w:val="24"/>
          <w:u w:val="single"/>
        </w:rPr>
        <w:lastRenderedPageBreak/>
        <w:t>П</w:t>
      </w:r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A316D" w:rsidRPr="003829F4" w:rsidRDefault="000A316D" w:rsidP="003829F4">
      <w:pPr>
        <w:pStyle w:val="af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829F4">
        <w:rPr>
          <w:rFonts w:ascii="Times New Roman" w:hAnsi="Times New Roman"/>
          <w:b/>
          <w:i/>
          <w:color w:val="002060"/>
          <w:sz w:val="24"/>
          <w:szCs w:val="24"/>
        </w:rPr>
        <w:t xml:space="preserve">Бухгалтерская отчетность при реорганизации МУП </w:t>
      </w:r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F3D0F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316D" w:rsidRPr="000A7ECB" w:rsidRDefault="003829F4" w:rsidP="003829F4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2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Приказ Минфина РФ от 20.05.2003 N 44н (ред. от 25.10.2010) "Об утверждении Методических указаний по формированию бухгалтерской отчетности при осуществлении реорганизации организаций" {КонсультантПлюс}</w:t>
        </w:r>
      </w:hyperlink>
    </w:p>
    <w:p w:rsidR="000A316D" w:rsidRPr="000A7ECB" w:rsidRDefault="003829F4" w:rsidP="003829F4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3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Вопрос: О ведении бухучета при реорганизации ФГУП в форме преобразования в бюджетное учреждение. (Письмо Минфина России от 22.05.2020 N 02-07-10/43270) {КонсультантПлюс}</w:t>
        </w:r>
      </w:hyperlink>
    </w:p>
    <w:p w:rsidR="000A316D" w:rsidRPr="000A7ECB" w:rsidRDefault="003829F4" w:rsidP="003829F4">
      <w:pPr>
        <w:pStyle w:val="af2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4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</w:rPr>
          <w:t>Приказ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{КонсультантПлюс}</w:t>
        </w:r>
      </w:hyperlink>
    </w:p>
    <w:p w:rsidR="000A316D" w:rsidRPr="000A7ECB" w:rsidRDefault="000A316D" w:rsidP="000A316D">
      <w:pPr>
        <w:pStyle w:val="a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 w:rsidRPr="000A7ECB">
        <w:rPr>
          <w:rFonts w:ascii="Times New Roman" w:hAnsi="Times New Roman"/>
          <w:color w:val="000000"/>
          <w:sz w:val="24"/>
          <w:szCs w:val="24"/>
        </w:rPr>
        <w:instrText xml:space="preserve"> DOCVARIABLE ОПИСАНИЕДЕЯТЕЛЬНОСТИ </w:instrText>
      </w:r>
      <w:r w:rsidRPr="000A7ECB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0A7ECB">
        <w:rPr>
          <w:rFonts w:ascii="Times New Roman" w:hAnsi="Times New Roman"/>
          <w:color w:val="000000"/>
          <w:sz w:val="24"/>
          <w:szCs w:val="24"/>
        </w:rPr>
        <w:t xml:space="preserve">Работник в 2016 году получает диплом специалиста с присвоением квалификации - врач. В 2021 устраивается в наше учреждение медицинской сестрой и работает по настоящее время. в 2024 году получает диплом об окончании ординатуры и переводится га должность </w:t>
      </w:r>
      <w:proofErr w:type="gramStart"/>
      <w:r w:rsidRPr="000A7ECB">
        <w:rPr>
          <w:rFonts w:ascii="Times New Roman" w:hAnsi="Times New Roman"/>
          <w:color w:val="000000"/>
          <w:sz w:val="24"/>
          <w:szCs w:val="24"/>
        </w:rPr>
        <w:t>врача .</w:t>
      </w:r>
      <w:proofErr w:type="gramEnd"/>
      <w:r w:rsidRPr="000A7ECB">
        <w:rPr>
          <w:rFonts w:ascii="Times New Roman" w:hAnsi="Times New Roman"/>
          <w:color w:val="000000"/>
          <w:sz w:val="24"/>
          <w:szCs w:val="24"/>
        </w:rPr>
        <w:t xml:space="preserve"> Ему 31 год. Стаж работы более 3 лет. Является ли данный работник молодым специалистом?</w:t>
      </w:r>
      <w:r w:rsidRPr="000A7ECB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A316D" w:rsidRPr="000A7ECB" w:rsidRDefault="000A316D" w:rsidP="003829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ECB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Если сотрудник получил диплом врача в 2016 году и устраивается на эту должность в 2024-ом, то сотрудник не является “молодым специалистом”, т.к. срок 3 года прошёл в 2019 году.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Молодой специалист - лицо не старше 35 лет, завершившее обучение по программам среднего или высшего профессионального образования, впервые устраивающееся на работу по трудовому договору по определенной специальности.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ECB">
        <w:rPr>
          <w:rFonts w:ascii="Times New Roman" w:hAnsi="Times New Roman"/>
          <w:b/>
          <w:bCs/>
          <w:color w:val="000000"/>
          <w:sz w:val="24"/>
          <w:szCs w:val="24"/>
        </w:rPr>
        <w:t>Закон Санкт-Петербурга от 22.11.2011 N 728-132 (ред. от 06.06.2024) "Социальный кодекс Санкт-Петербурга" (принят ЗС СПб 09.11.2011)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EC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9.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ECB">
        <w:rPr>
          <w:rFonts w:ascii="Times New Roman" w:hAnsi="Times New Roman"/>
          <w:color w:val="000000"/>
          <w:sz w:val="24"/>
          <w:szCs w:val="24"/>
        </w:rPr>
        <w:t>Молодой специалист - гражданин, закончивший образовательное учреждение среднего или высшего профессионального образования,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образования.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ECB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ECB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A316D" w:rsidRPr="003829F4" w:rsidRDefault="000A316D" w:rsidP="003829F4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829F4">
        <w:rPr>
          <w:rFonts w:ascii="Times New Roman" w:hAnsi="Times New Roman"/>
          <w:b/>
          <w:i/>
          <w:color w:val="002060"/>
          <w:sz w:val="24"/>
          <w:szCs w:val="24"/>
        </w:rPr>
        <w:t>Молодой специалист</w:t>
      </w:r>
    </w:p>
    <w:p w:rsidR="003829F4" w:rsidRPr="000A7ECB" w:rsidRDefault="003829F4" w:rsidP="000A316D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F3D0F"/>
          <w:sz w:val="24"/>
          <w:szCs w:val="24"/>
        </w:rPr>
      </w:pP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ECB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A316D" w:rsidRPr="000A7ECB" w:rsidRDefault="000A316D" w:rsidP="000A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A316D" w:rsidRPr="000A7ECB" w:rsidRDefault="003829F4" w:rsidP="003829F4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5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Статья: Молодой специалист: особенности трудовых отношений (Подготовлен для системы КонсультантПлюс, 2024) {КонсультантПлюс}</w:t>
        </w:r>
      </w:hyperlink>
    </w:p>
    <w:p w:rsidR="000A316D" w:rsidRPr="000A7ECB" w:rsidRDefault="003829F4" w:rsidP="003829F4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6" w:tooltip="Ссылка на КонсультантПлюс" w:history="1">
        <w:r w:rsidR="000A316D" w:rsidRPr="000A7EC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Вопрос: О страховых взносах с выплат в виде дополнительных мер социальной поддержки работников госучреждений г. Санкт-Петербурга. (Письмо Минфина России от 05.10.2017 N 03-15-06/64946) {КонсультантПлюс}</w:t>
        </w:r>
      </w:hyperlink>
    </w:p>
    <w:p w:rsidR="00973B8D" w:rsidRPr="000A7ECB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3B8D" w:rsidRPr="000A7ECB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3829F4" w:rsidRDefault="0080336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829F4">
        <w:rPr>
          <w:rFonts w:ascii="Times New Roman" w:hAnsi="Times New Roman"/>
          <w:b/>
          <w:color w:val="C00000"/>
          <w:sz w:val="28"/>
          <w:szCs w:val="28"/>
          <w:u w:val="single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0A7ECB" w:rsidRDefault="000E5D20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0A7ECB" w:rsidRDefault="00803361" w:rsidP="0029731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ECB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</w:t>
      </w:r>
      <w:bookmarkStart w:id="0" w:name="_GoBack"/>
      <w:bookmarkEnd w:id="0"/>
      <w:r w:rsidRPr="000A7ECB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</w:t>
      </w:r>
    </w:p>
    <w:sectPr w:rsidR="000E5D20" w:rsidRPr="000A7ECB">
      <w:footerReference w:type="default" r:id="rId27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3829F4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4E699F"/>
    <w:multiLevelType w:val="hybridMultilevel"/>
    <w:tmpl w:val="B1C8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A13"/>
    <w:multiLevelType w:val="hybridMultilevel"/>
    <w:tmpl w:val="0E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C78"/>
    <w:multiLevelType w:val="hybridMultilevel"/>
    <w:tmpl w:val="D49A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1DF8"/>
    <w:multiLevelType w:val="hybridMultilevel"/>
    <w:tmpl w:val="C78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603A"/>
    <w:multiLevelType w:val="hybridMultilevel"/>
    <w:tmpl w:val="D7C66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05A1"/>
    <w:multiLevelType w:val="hybridMultilevel"/>
    <w:tmpl w:val="27D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1BD"/>
    <w:multiLevelType w:val="hybridMultilevel"/>
    <w:tmpl w:val="C4A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5FF6"/>
    <w:multiLevelType w:val="hybridMultilevel"/>
    <w:tmpl w:val="751C3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7FC"/>
    <w:multiLevelType w:val="hybridMultilevel"/>
    <w:tmpl w:val="0EC8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7C00"/>
    <w:multiLevelType w:val="hybridMultilevel"/>
    <w:tmpl w:val="A6AA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C7DAD"/>
    <w:multiLevelType w:val="hybridMultilevel"/>
    <w:tmpl w:val="876C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5637"/>
    <w:multiLevelType w:val="hybridMultilevel"/>
    <w:tmpl w:val="D840C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163BE"/>
    <w:multiLevelType w:val="hybridMultilevel"/>
    <w:tmpl w:val="10DC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96BAF"/>
    <w:multiLevelType w:val="hybridMultilevel"/>
    <w:tmpl w:val="E6E6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12BF8"/>
    <w:multiLevelType w:val="hybridMultilevel"/>
    <w:tmpl w:val="BF886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BAB"/>
    <w:multiLevelType w:val="hybridMultilevel"/>
    <w:tmpl w:val="F8906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1814"/>
    <w:multiLevelType w:val="hybridMultilevel"/>
    <w:tmpl w:val="F8F2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06274"/>
    <w:multiLevelType w:val="hybridMultilevel"/>
    <w:tmpl w:val="A0CE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A3579"/>
    <w:multiLevelType w:val="hybridMultilevel"/>
    <w:tmpl w:val="BB3C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647"/>
    <w:multiLevelType w:val="hybridMultilevel"/>
    <w:tmpl w:val="59C6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7231"/>
    <w:multiLevelType w:val="hybridMultilevel"/>
    <w:tmpl w:val="1A0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72F27"/>
    <w:multiLevelType w:val="hybridMultilevel"/>
    <w:tmpl w:val="3E280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0177"/>
    <w:multiLevelType w:val="hybridMultilevel"/>
    <w:tmpl w:val="DB38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43E4B"/>
    <w:multiLevelType w:val="hybridMultilevel"/>
    <w:tmpl w:val="D960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110E"/>
    <w:multiLevelType w:val="hybridMultilevel"/>
    <w:tmpl w:val="852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6196"/>
    <w:multiLevelType w:val="hybridMultilevel"/>
    <w:tmpl w:val="4664DC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7" w15:restartNumberingAfterBreak="0">
    <w:nsid w:val="6D1E5A2E"/>
    <w:multiLevelType w:val="hybridMultilevel"/>
    <w:tmpl w:val="C0E0E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54B8E"/>
    <w:multiLevelType w:val="hybridMultilevel"/>
    <w:tmpl w:val="919A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3716A"/>
    <w:multiLevelType w:val="hybridMultilevel"/>
    <w:tmpl w:val="77C89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6AEE"/>
    <w:multiLevelType w:val="hybridMultilevel"/>
    <w:tmpl w:val="ED0EF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C8C"/>
    <w:multiLevelType w:val="hybridMultilevel"/>
    <w:tmpl w:val="A6021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23ACA"/>
    <w:multiLevelType w:val="hybridMultilevel"/>
    <w:tmpl w:val="25D4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13"/>
  </w:num>
  <w:num w:numId="5">
    <w:abstractNumId w:val="32"/>
  </w:num>
  <w:num w:numId="6">
    <w:abstractNumId w:val="23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25"/>
  </w:num>
  <w:num w:numId="12">
    <w:abstractNumId w:val="30"/>
  </w:num>
  <w:num w:numId="13">
    <w:abstractNumId w:val="6"/>
  </w:num>
  <w:num w:numId="14">
    <w:abstractNumId w:val="4"/>
  </w:num>
  <w:num w:numId="15">
    <w:abstractNumId w:val="8"/>
  </w:num>
  <w:num w:numId="16">
    <w:abstractNumId w:val="9"/>
  </w:num>
  <w:num w:numId="17">
    <w:abstractNumId w:val="19"/>
  </w:num>
  <w:num w:numId="18">
    <w:abstractNumId w:val="11"/>
  </w:num>
  <w:num w:numId="19">
    <w:abstractNumId w:val="24"/>
  </w:num>
  <w:num w:numId="20">
    <w:abstractNumId w:val="1"/>
  </w:num>
  <w:num w:numId="21">
    <w:abstractNumId w:val="28"/>
  </w:num>
  <w:num w:numId="22">
    <w:abstractNumId w:val="20"/>
  </w:num>
  <w:num w:numId="23">
    <w:abstractNumId w:val="17"/>
  </w:num>
  <w:num w:numId="24">
    <w:abstractNumId w:val="16"/>
  </w:num>
  <w:num w:numId="25">
    <w:abstractNumId w:val="21"/>
  </w:num>
  <w:num w:numId="26">
    <w:abstractNumId w:val="29"/>
  </w:num>
  <w:num w:numId="27">
    <w:abstractNumId w:val="10"/>
  </w:num>
  <w:num w:numId="28">
    <w:abstractNumId w:val="5"/>
  </w:num>
  <w:num w:numId="29">
    <w:abstractNumId w:val="3"/>
  </w:num>
  <w:num w:numId="30">
    <w:abstractNumId w:val="31"/>
  </w:num>
  <w:num w:numId="31">
    <w:abstractNumId w:val="27"/>
  </w:num>
  <w:num w:numId="32">
    <w:abstractNumId w:val="18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124D4"/>
    <w:rsid w:val="00025601"/>
    <w:rsid w:val="00026E93"/>
    <w:rsid w:val="000349E8"/>
    <w:rsid w:val="00041A2C"/>
    <w:rsid w:val="00053733"/>
    <w:rsid w:val="00054C2D"/>
    <w:rsid w:val="00070BDF"/>
    <w:rsid w:val="00076679"/>
    <w:rsid w:val="00085AAE"/>
    <w:rsid w:val="00086608"/>
    <w:rsid w:val="00096536"/>
    <w:rsid w:val="000A316D"/>
    <w:rsid w:val="000A5E64"/>
    <w:rsid w:val="000A73B2"/>
    <w:rsid w:val="000A7ECB"/>
    <w:rsid w:val="000B236C"/>
    <w:rsid w:val="000B41CE"/>
    <w:rsid w:val="000B6E5C"/>
    <w:rsid w:val="000D2D72"/>
    <w:rsid w:val="000D35E7"/>
    <w:rsid w:val="000D4EDB"/>
    <w:rsid w:val="000D6B35"/>
    <w:rsid w:val="000E5D20"/>
    <w:rsid w:val="00103CFD"/>
    <w:rsid w:val="00121946"/>
    <w:rsid w:val="001265C9"/>
    <w:rsid w:val="0013056C"/>
    <w:rsid w:val="00143917"/>
    <w:rsid w:val="00170527"/>
    <w:rsid w:val="00185208"/>
    <w:rsid w:val="0019004A"/>
    <w:rsid w:val="001901AA"/>
    <w:rsid w:val="001E027B"/>
    <w:rsid w:val="001F478B"/>
    <w:rsid w:val="001F5AA5"/>
    <w:rsid w:val="00213919"/>
    <w:rsid w:val="00220886"/>
    <w:rsid w:val="00220E20"/>
    <w:rsid w:val="002478FC"/>
    <w:rsid w:val="002537AF"/>
    <w:rsid w:val="00275FCE"/>
    <w:rsid w:val="00290756"/>
    <w:rsid w:val="0029731F"/>
    <w:rsid w:val="002B6B5D"/>
    <w:rsid w:val="002C64D5"/>
    <w:rsid w:val="002D5053"/>
    <w:rsid w:val="002E6D22"/>
    <w:rsid w:val="002F54C4"/>
    <w:rsid w:val="002F56C3"/>
    <w:rsid w:val="00301154"/>
    <w:rsid w:val="00305BC0"/>
    <w:rsid w:val="00314C81"/>
    <w:rsid w:val="00326EC5"/>
    <w:rsid w:val="00340225"/>
    <w:rsid w:val="00355926"/>
    <w:rsid w:val="0036189C"/>
    <w:rsid w:val="003829F4"/>
    <w:rsid w:val="003832B0"/>
    <w:rsid w:val="003835E1"/>
    <w:rsid w:val="003849CC"/>
    <w:rsid w:val="003853CD"/>
    <w:rsid w:val="00390C03"/>
    <w:rsid w:val="003B7389"/>
    <w:rsid w:val="003B77C0"/>
    <w:rsid w:val="003E3598"/>
    <w:rsid w:val="003E57CD"/>
    <w:rsid w:val="003F33B0"/>
    <w:rsid w:val="004112D8"/>
    <w:rsid w:val="00416FAC"/>
    <w:rsid w:val="00417150"/>
    <w:rsid w:val="00440178"/>
    <w:rsid w:val="004412D6"/>
    <w:rsid w:val="00453A07"/>
    <w:rsid w:val="00453EC8"/>
    <w:rsid w:val="00464BB6"/>
    <w:rsid w:val="00470A20"/>
    <w:rsid w:val="00481426"/>
    <w:rsid w:val="00492AE2"/>
    <w:rsid w:val="004A3053"/>
    <w:rsid w:val="004A3ED6"/>
    <w:rsid w:val="004B53FD"/>
    <w:rsid w:val="004B5481"/>
    <w:rsid w:val="004E3CA6"/>
    <w:rsid w:val="004F155F"/>
    <w:rsid w:val="004F71FE"/>
    <w:rsid w:val="0050008B"/>
    <w:rsid w:val="0050674D"/>
    <w:rsid w:val="0052256D"/>
    <w:rsid w:val="005311E8"/>
    <w:rsid w:val="0053235E"/>
    <w:rsid w:val="005507B8"/>
    <w:rsid w:val="00566919"/>
    <w:rsid w:val="00573496"/>
    <w:rsid w:val="00574351"/>
    <w:rsid w:val="00577095"/>
    <w:rsid w:val="00591C13"/>
    <w:rsid w:val="005B0971"/>
    <w:rsid w:val="005B7A54"/>
    <w:rsid w:val="005C46B6"/>
    <w:rsid w:val="005D0844"/>
    <w:rsid w:val="005E7B66"/>
    <w:rsid w:val="00614EA3"/>
    <w:rsid w:val="006212F5"/>
    <w:rsid w:val="0067243A"/>
    <w:rsid w:val="00695087"/>
    <w:rsid w:val="006A0F94"/>
    <w:rsid w:val="006B4751"/>
    <w:rsid w:val="006C1DB4"/>
    <w:rsid w:val="006D1009"/>
    <w:rsid w:val="006D4FB9"/>
    <w:rsid w:val="006E3E11"/>
    <w:rsid w:val="006E584F"/>
    <w:rsid w:val="006F3587"/>
    <w:rsid w:val="006F604E"/>
    <w:rsid w:val="00716CF9"/>
    <w:rsid w:val="0072792A"/>
    <w:rsid w:val="0073045D"/>
    <w:rsid w:val="00753649"/>
    <w:rsid w:val="00762A65"/>
    <w:rsid w:val="00767291"/>
    <w:rsid w:val="00776810"/>
    <w:rsid w:val="007B3B73"/>
    <w:rsid w:val="007B44AC"/>
    <w:rsid w:val="007B5C4E"/>
    <w:rsid w:val="00803361"/>
    <w:rsid w:val="008106C8"/>
    <w:rsid w:val="00811A89"/>
    <w:rsid w:val="008165FC"/>
    <w:rsid w:val="0082295C"/>
    <w:rsid w:val="0083637B"/>
    <w:rsid w:val="0083710C"/>
    <w:rsid w:val="00846B62"/>
    <w:rsid w:val="00854C3A"/>
    <w:rsid w:val="008734FC"/>
    <w:rsid w:val="00880550"/>
    <w:rsid w:val="00883C0E"/>
    <w:rsid w:val="008B2926"/>
    <w:rsid w:val="008B7DF3"/>
    <w:rsid w:val="008C3F7F"/>
    <w:rsid w:val="008D0904"/>
    <w:rsid w:val="008F424A"/>
    <w:rsid w:val="009018F1"/>
    <w:rsid w:val="00922CF4"/>
    <w:rsid w:val="009266FA"/>
    <w:rsid w:val="0093176B"/>
    <w:rsid w:val="00933E3E"/>
    <w:rsid w:val="00952B59"/>
    <w:rsid w:val="00966847"/>
    <w:rsid w:val="0097154B"/>
    <w:rsid w:val="00973B8D"/>
    <w:rsid w:val="00975B4F"/>
    <w:rsid w:val="0097733A"/>
    <w:rsid w:val="009B63CA"/>
    <w:rsid w:val="009C66FD"/>
    <w:rsid w:val="009C7EF8"/>
    <w:rsid w:val="009D3B2D"/>
    <w:rsid w:val="009F35F9"/>
    <w:rsid w:val="009F4404"/>
    <w:rsid w:val="00A01FFA"/>
    <w:rsid w:val="00A06289"/>
    <w:rsid w:val="00A11557"/>
    <w:rsid w:val="00A1615A"/>
    <w:rsid w:val="00A2654F"/>
    <w:rsid w:val="00A30C78"/>
    <w:rsid w:val="00A315A7"/>
    <w:rsid w:val="00A32314"/>
    <w:rsid w:val="00A34FAA"/>
    <w:rsid w:val="00A36372"/>
    <w:rsid w:val="00A50A57"/>
    <w:rsid w:val="00A529A7"/>
    <w:rsid w:val="00A55B40"/>
    <w:rsid w:val="00A57082"/>
    <w:rsid w:val="00A73DFD"/>
    <w:rsid w:val="00A8782C"/>
    <w:rsid w:val="00A91354"/>
    <w:rsid w:val="00A9153D"/>
    <w:rsid w:val="00AA7F74"/>
    <w:rsid w:val="00AD22DE"/>
    <w:rsid w:val="00AE620D"/>
    <w:rsid w:val="00AF3A6E"/>
    <w:rsid w:val="00B07378"/>
    <w:rsid w:val="00B10A9E"/>
    <w:rsid w:val="00B20309"/>
    <w:rsid w:val="00B27B20"/>
    <w:rsid w:val="00B344C1"/>
    <w:rsid w:val="00B4329E"/>
    <w:rsid w:val="00B533D0"/>
    <w:rsid w:val="00B6448D"/>
    <w:rsid w:val="00B650FC"/>
    <w:rsid w:val="00B655E0"/>
    <w:rsid w:val="00B73EF8"/>
    <w:rsid w:val="00B83580"/>
    <w:rsid w:val="00BD1A97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86FEE"/>
    <w:rsid w:val="00C87D23"/>
    <w:rsid w:val="00CA724C"/>
    <w:rsid w:val="00CB294D"/>
    <w:rsid w:val="00CB5397"/>
    <w:rsid w:val="00CC4F2B"/>
    <w:rsid w:val="00CD283D"/>
    <w:rsid w:val="00CF1D9A"/>
    <w:rsid w:val="00D05B42"/>
    <w:rsid w:val="00D32327"/>
    <w:rsid w:val="00D5314B"/>
    <w:rsid w:val="00D57D65"/>
    <w:rsid w:val="00D60619"/>
    <w:rsid w:val="00D95690"/>
    <w:rsid w:val="00DB725F"/>
    <w:rsid w:val="00DD7D12"/>
    <w:rsid w:val="00DE12B3"/>
    <w:rsid w:val="00DE649A"/>
    <w:rsid w:val="00E00D1A"/>
    <w:rsid w:val="00E04951"/>
    <w:rsid w:val="00E0661A"/>
    <w:rsid w:val="00E23FCD"/>
    <w:rsid w:val="00E46F29"/>
    <w:rsid w:val="00E516C1"/>
    <w:rsid w:val="00E7646F"/>
    <w:rsid w:val="00E872E3"/>
    <w:rsid w:val="00E92AB0"/>
    <w:rsid w:val="00EB18F8"/>
    <w:rsid w:val="00EB3E2D"/>
    <w:rsid w:val="00EB7337"/>
    <w:rsid w:val="00EC284B"/>
    <w:rsid w:val="00EC38E5"/>
    <w:rsid w:val="00F05656"/>
    <w:rsid w:val="00F24059"/>
    <w:rsid w:val="00F47542"/>
    <w:rsid w:val="00F56AB4"/>
    <w:rsid w:val="00F623D9"/>
    <w:rsid w:val="00F65A77"/>
    <w:rsid w:val="00F677C4"/>
    <w:rsid w:val="00F906DD"/>
    <w:rsid w:val="00FA0668"/>
    <w:rsid w:val="00FA1C4A"/>
    <w:rsid w:val="00FA5A58"/>
    <w:rsid w:val="00FA7946"/>
    <w:rsid w:val="00FC3E0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32DE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CMB&amp;n=18039&amp;dst=104469" TargetMode="External"/><Relationship Id="rId18" Type="http://schemas.openxmlformats.org/officeDocument/2006/relationships/hyperlink" Target="https://login.consultant.ru/link/?req=doc&amp;base=GRGXLIV&amp;n=4&amp;dst=100139" TargetMode="External"/><Relationship Id="rId26" Type="http://schemas.openxmlformats.org/officeDocument/2006/relationships/hyperlink" Target="https://login.consultant.ru/link/?req=doc&amp;base=QSBO&amp;n=18149&amp;dst=100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4&amp;dst=1006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DR&amp;n=26&amp;dst=103211" TargetMode="External"/><Relationship Id="rId17" Type="http://schemas.openxmlformats.org/officeDocument/2006/relationships/hyperlink" Target="https://login.consultant.ru/link/?req=doc&amp;base=LAW&amp;n=450824&amp;dst=3035" TargetMode="External"/><Relationship Id="rId25" Type="http://schemas.openxmlformats.org/officeDocument/2006/relationships/hyperlink" Target="https://login.consultant.ru/link/?req=doc&amp;base=CJI&amp;n=100001&amp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GRGXLIV&amp;n=22&amp;dst=100009" TargetMode="External"/><Relationship Id="rId20" Type="http://schemas.openxmlformats.org/officeDocument/2006/relationships/hyperlink" Target="https://login.consultant.ru/link/?req=doc&amp;base=LAW&amp;n=456032&amp;dst=1005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474275&amp;dst=164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6229&amp;dst=100064" TargetMode="External"/><Relationship Id="rId23" Type="http://schemas.openxmlformats.org/officeDocument/2006/relationships/hyperlink" Target="https://login.consultant.ru/link/?req=doc&amp;base=QUEST&amp;n=210981" TargetMode="External"/><Relationship Id="rId2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1812&amp;dst=100167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GRGXLIV&amp;n=52&amp;dst=100095" TargetMode="External"/><Relationship Id="rId22" Type="http://schemas.openxmlformats.org/officeDocument/2006/relationships/hyperlink" Target="https://login.consultant.ru/link/?req=doc&amp;base=LAW&amp;n=107305&amp;dst=10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249</cp:revision>
  <dcterms:created xsi:type="dcterms:W3CDTF">2023-11-15T07:34:00Z</dcterms:created>
  <dcterms:modified xsi:type="dcterms:W3CDTF">2024-07-26T08:20:00Z</dcterms:modified>
</cp:coreProperties>
</file>